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5BD56" w14:textId="3A725C9B" w:rsidR="009B5FFF" w:rsidRPr="00C733EF" w:rsidRDefault="00300CDC" w:rsidP="00300CDC">
      <w:pPr>
        <w:pStyle w:val="Heading1"/>
        <w:rPr>
          <w:u w:val="single"/>
        </w:rPr>
      </w:pPr>
      <w:r w:rsidRPr="00C733EF">
        <w:rPr>
          <w:u w:val="single"/>
        </w:rPr>
        <w:t>Minor Surgery</w:t>
      </w:r>
    </w:p>
    <w:p w14:paraId="00476CE2" w14:textId="0FF8EFEC" w:rsidR="0034449F" w:rsidRDefault="0034449F" w:rsidP="001E3417">
      <w:pPr>
        <w:spacing w:line="240" w:lineRule="auto"/>
      </w:pPr>
      <w:r>
        <w:t>The minor surgery course is based on the syllabus of the old RCGP 2-day course. To reduce the time</w:t>
      </w:r>
      <w:r w:rsidR="00C733EF">
        <w:t xml:space="preserve">  </w:t>
      </w:r>
      <w:r>
        <w:t xml:space="preserve">spent in an indoor meeting, I have shifted the theory lectures to an online platform which can also be accessed afterwards as a reference resource. This leaves the practical skills which are taught, practiced and assessed in 1 whole day. </w:t>
      </w:r>
    </w:p>
    <w:p w14:paraId="1974E3A1" w14:textId="64D3DC59" w:rsidR="0034449F" w:rsidRDefault="0034449F" w:rsidP="001E3417">
      <w:pPr>
        <w:spacing w:line="240" w:lineRule="auto"/>
      </w:pPr>
      <w:r>
        <w:t>The programme starts off with the minor skin procedures, through ingrowing toenail surgery to the invasive excision and suturing techniques as the day progresses. The sessions in the afternoon involving suturing uses raw pig skin as artificial foam pads do not give an accurate representation of how human skin behaves.</w:t>
      </w:r>
    </w:p>
    <w:p w14:paraId="57D385FB" w14:textId="4532C070" w:rsidR="0034449F" w:rsidRDefault="0034449F" w:rsidP="001E3417">
      <w:pPr>
        <w:spacing w:line="240" w:lineRule="auto"/>
      </w:pPr>
      <w:r>
        <w:t>Following the course, certificates of CPD and of DOPS assessment are awarded. Delegates have ongoing access to the online materials and advice via email on clinical and administrative issues for the next 3 years.</w:t>
      </w:r>
    </w:p>
    <w:p w14:paraId="6FD0BDE8" w14:textId="77777777" w:rsidR="001E3417" w:rsidRPr="001C26A7" w:rsidRDefault="001E3417" w:rsidP="001E3417">
      <w:pPr>
        <w:spacing w:after="0" w:line="240" w:lineRule="auto"/>
        <w:rPr>
          <w:rStyle w:val="IntenseEmphasis"/>
        </w:rPr>
      </w:pPr>
      <w:r w:rsidRPr="001C26A7">
        <w:rPr>
          <w:rStyle w:val="IntenseEmphasis"/>
        </w:rPr>
        <w:t>Who is it for?</w:t>
      </w:r>
    </w:p>
    <w:p w14:paraId="36125F2C" w14:textId="77777777" w:rsidR="001E3417" w:rsidRPr="001E3417" w:rsidRDefault="001E3417" w:rsidP="001E3417">
      <w:pPr>
        <w:spacing w:after="0" w:line="240" w:lineRule="auto"/>
        <w:rPr>
          <w:rFonts w:ascii="Calibri" w:hAnsi="Calibri"/>
          <w:sz w:val="10"/>
          <w:szCs w:val="10"/>
        </w:rPr>
      </w:pPr>
    </w:p>
    <w:p w14:paraId="79D9F86B" w14:textId="6B1874EB" w:rsidR="001E3417" w:rsidRPr="001E3417" w:rsidRDefault="001E3417" w:rsidP="001E3417">
      <w:pPr>
        <w:spacing w:after="0" w:line="240" w:lineRule="auto"/>
        <w:rPr>
          <w:rFonts w:eastAsia="Times New Roman" w:cstheme="minorHAnsi"/>
          <w:b/>
          <w:bCs/>
          <w:color w:val="FF0000"/>
          <w:sz w:val="24"/>
          <w:szCs w:val="24"/>
        </w:rPr>
      </w:pPr>
      <w:r w:rsidRPr="00FC6CF1">
        <w:rPr>
          <w:rFonts w:eastAsia="Times New Roman" w:cstheme="minorHAnsi"/>
          <w:color w:val="000000"/>
          <w:sz w:val="24"/>
          <w:szCs w:val="24"/>
        </w:rPr>
        <w:t>It is suitable for</w:t>
      </w:r>
      <w:r>
        <w:rPr>
          <w:rFonts w:eastAsia="Times New Roman" w:cstheme="minorHAnsi"/>
          <w:color w:val="000000"/>
          <w:sz w:val="24"/>
          <w:szCs w:val="24"/>
        </w:rPr>
        <w:t xml:space="preserve">:  </w:t>
      </w:r>
      <w:r w:rsidRPr="00FC6CF1">
        <w:rPr>
          <w:rFonts w:eastAsia="Times New Roman" w:cstheme="minorHAnsi"/>
          <w:color w:val="000000"/>
          <w:sz w:val="24"/>
          <w:szCs w:val="24"/>
        </w:rPr>
        <w:t xml:space="preserve"> </w:t>
      </w:r>
      <w:r w:rsidR="00E44062" w:rsidRPr="00E44062">
        <w:rPr>
          <w:rFonts w:eastAsia="Times New Roman"/>
          <w:b/>
          <w:bCs/>
        </w:rPr>
        <w:t>GPs, GPSTs, ANPs, ACPs</w:t>
      </w:r>
      <w:r w:rsidR="00E44062">
        <w:rPr>
          <w:rFonts w:eastAsia="Times New Roman"/>
          <w:b/>
          <w:bCs/>
        </w:rPr>
        <w:t xml:space="preserve"> only</w:t>
      </w:r>
    </w:p>
    <w:p w14:paraId="41BFA2AE" w14:textId="77777777" w:rsidR="001E3417" w:rsidRPr="001E3417" w:rsidRDefault="001E3417" w:rsidP="001E3417">
      <w:pPr>
        <w:spacing w:line="240" w:lineRule="auto"/>
        <w:rPr>
          <w:noProof/>
          <w:sz w:val="6"/>
          <w:szCs w:val="6"/>
        </w:rPr>
      </w:pPr>
    </w:p>
    <w:tbl>
      <w:tblPr>
        <w:tblStyle w:val="TableGrid"/>
        <w:tblpPr w:leftFromText="180" w:rightFromText="180" w:vertAnchor="text" w:horzAnchor="margin" w:tblpY="635"/>
        <w:tblW w:w="9634" w:type="dxa"/>
        <w:tblLook w:val="04A0" w:firstRow="1" w:lastRow="0" w:firstColumn="1" w:lastColumn="0" w:noHBand="0" w:noVBand="1"/>
      </w:tblPr>
      <w:tblGrid>
        <w:gridCol w:w="4147"/>
        <w:gridCol w:w="5487"/>
      </w:tblGrid>
      <w:tr w:rsidR="00F849B8" w14:paraId="440CCA69" w14:textId="77777777" w:rsidTr="00F849B8">
        <w:tc>
          <w:tcPr>
            <w:tcW w:w="4147" w:type="dxa"/>
          </w:tcPr>
          <w:p w14:paraId="02D6D857" w14:textId="77777777" w:rsidR="00F849B8" w:rsidRDefault="00F849B8" w:rsidP="00F849B8">
            <w:pPr>
              <w:pStyle w:val="ListParagraph"/>
              <w:ind w:left="0"/>
            </w:pPr>
            <w:r>
              <w:t>Minor Surgery – an overview</w:t>
            </w:r>
          </w:p>
        </w:tc>
        <w:tc>
          <w:tcPr>
            <w:tcW w:w="5487" w:type="dxa"/>
          </w:tcPr>
          <w:p w14:paraId="07362A98" w14:textId="77777777" w:rsidR="00F849B8" w:rsidRDefault="00F849B8" w:rsidP="00F849B8">
            <w:pPr>
              <w:pStyle w:val="ListParagraph"/>
              <w:ind w:left="0"/>
            </w:pPr>
            <w:r>
              <w:t>The what, who, where, when, why and how of GP minor surgery</w:t>
            </w:r>
          </w:p>
        </w:tc>
      </w:tr>
      <w:tr w:rsidR="00F849B8" w14:paraId="08C26B6F" w14:textId="77777777" w:rsidTr="00F849B8">
        <w:tc>
          <w:tcPr>
            <w:tcW w:w="4147" w:type="dxa"/>
          </w:tcPr>
          <w:p w14:paraId="39BDE9AA" w14:textId="77777777" w:rsidR="00F849B8" w:rsidRDefault="00F849B8" w:rsidP="00F849B8">
            <w:pPr>
              <w:pStyle w:val="ListParagraph"/>
              <w:ind w:left="0"/>
            </w:pPr>
            <w:r>
              <w:t>Lesion Recognition</w:t>
            </w:r>
          </w:p>
        </w:tc>
        <w:tc>
          <w:tcPr>
            <w:tcW w:w="5487" w:type="dxa"/>
          </w:tcPr>
          <w:p w14:paraId="45B9ECE8" w14:textId="77777777" w:rsidR="00F849B8" w:rsidRDefault="00F849B8" w:rsidP="00F849B8">
            <w:pPr>
              <w:pStyle w:val="ListParagraph"/>
              <w:ind w:left="0"/>
            </w:pPr>
            <w:r>
              <w:t>Pigmented and non-pigmented lesions</w:t>
            </w:r>
          </w:p>
        </w:tc>
      </w:tr>
      <w:tr w:rsidR="00F849B8" w14:paraId="0DCA950C" w14:textId="77777777" w:rsidTr="00F849B8">
        <w:tc>
          <w:tcPr>
            <w:tcW w:w="4147" w:type="dxa"/>
          </w:tcPr>
          <w:p w14:paraId="25A02B10" w14:textId="77777777" w:rsidR="00F849B8" w:rsidRDefault="00F849B8" w:rsidP="00F849B8">
            <w:pPr>
              <w:pStyle w:val="ListParagraph"/>
              <w:ind w:left="0"/>
            </w:pPr>
            <w:r>
              <w:t>Anticipating Problems</w:t>
            </w:r>
          </w:p>
        </w:tc>
        <w:tc>
          <w:tcPr>
            <w:tcW w:w="5487" w:type="dxa"/>
          </w:tcPr>
          <w:p w14:paraId="0CA0BEF6" w14:textId="77777777" w:rsidR="00F849B8" w:rsidRDefault="00F849B8" w:rsidP="00F849B8">
            <w:pPr>
              <w:pStyle w:val="ListParagraph"/>
              <w:ind w:left="0"/>
            </w:pPr>
            <w:r>
              <w:t>The unavoidable risks of bleeding, infection and scarring and how to minimise them</w:t>
            </w:r>
          </w:p>
        </w:tc>
      </w:tr>
      <w:tr w:rsidR="00F849B8" w14:paraId="05DB68F5" w14:textId="77777777" w:rsidTr="00F849B8">
        <w:tc>
          <w:tcPr>
            <w:tcW w:w="4147" w:type="dxa"/>
          </w:tcPr>
          <w:p w14:paraId="2FC4B13F" w14:textId="77777777" w:rsidR="00F849B8" w:rsidRDefault="00F849B8" w:rsidP="00F849B8">
            <w:pPr>
              <w:pStyle w:val="ListParagraph"/>
              <w:ind w:left="0"/>
            </w:pPr>
            <w:r>
              <w:t>Local anaesthesia</w:t>
            </w:r>
          </w:p>
        </w:tc>
        <w:tc>
          <w:tcPr>
            <w:tcW w:w="5487" w:type="dxa"/>
          </w:tcPr>
          <w:p w14:paraId="27D08718" w14:textId="77777777" w:rsidR="00F849B8" w:rsidRDefault="00F849B8" w:rsidP="00F849B8">
            <w:pPr>
              <w:pStyle w:val="ListParagraph"/>
              <w:ind w:left="0"/>
            </w:pPr>
            <w:r>
              <w:t>Basics and clinical aspects</w:t>
            </w:r>
          </w:p>
        </w:tc>
      </w:tr>
      <w:tr w:rsidR="00F849B8" w14:paraId="13713FA3" w14:textId="77777777" w:rsidTr="00F849B8">
        <w:tc>
          <w:tcPr>
            <w:tcW w:w="4147" w:type="dxa"/>
          </w:tcPr>
          <w:p w14:paraId="4D562C2F" w14:textId="77777777" w:rsidR="00F849B8" w:rsidRDefault="00F849B8" w:rsidP="00F849B8">
            <w:pPr>
              <w:pStyle w:val="ListParagraph"/>
              <w:ind w:left="0"/>
            </w:pPr>
            <w:r>
              <w:t>Consent</w:t>
            </w:r>
          </w:p>
        </w:tc>
        <w:tc>
          <w:tcPr>
            <w:tcW w:w="5487" w:type="dxa"/>
          </w:tcPr>
          <w:p w14:paraId="7DE9F537" w14:textId="77777777" w:rsidR="00F849B8" w:rsidRDefault="00F849B8" w:rsidP="00F849B8">
            <w:pPr>
              <w:pStyle w:val="ListParagraph"/>
              <w:ind w:left="0"/>
            </w:pPr>
            <w:r>
              <w:t>The who, when and how of valid consent</w:t>
            </w:r>
          </w:p>
        </w:tc>
      </w:tr>
      <w:tr w:rsidR="00F849B8" w14:paraId="7A8D7A9F" w14:textId="77777777" w:rsidTr="00F849B8">
        <w:tc>
          <w:tcPr>
            <w:tcW w:w="4147" w:type="dxa"/>
          </w:tcPr>
          <w:p w14:paraId="7AA2FF0B" w14:textId="77777777" w:rsidR="00F849B8" w:rsidRDefault="00F849B8" w:rsidP="00F849B8">
            <w:pPr>
              <w:pStyle w:val="ListParagraph"/>
              <w:ind w:left="0"/>
            </w:pPr>
            <w:r>
              <w:t>Notekeeping and Audit</w:t>
            </w:r>
          </w:p>
        </w:tc>
        <w:tc>
          <w:tcPr>
            <w:tcW w:w="5487" w:type="dxa"/>
          </w:tcPr>
          <w:p w14:paraId="5A1F36FD" w14:textId="77777777" w:rsidR="00F849B8" w:rsidRDefault="00F849B8" w:rsidP="00F849B8">
            <w:pPr>
              <w:pStyle w:val="ListParagraph"/>
              <w:ind w:left="0"/>
            </w:pPr>
            <w:r>
              <w:t>The why and how</w:t>
            </w:r>
          </w:p>
        </w:tc>
      </w:tr>
      <w:tr w:rsidR="00F849B8" w14:paraId="078BE76A" w14:textId="77777777" w:rsidTr="00F849B8">
        <w:tc>
          <w:tcPr>
            <w:tcW w:w="4147" w:type="dxa"/>
            <w:shd w:val="clear" w:color="auto" w:fill="FFF2CC" w:themeFill="accent4" w:themeFillTint="33"/>
          </w:tcPr>
          <w:p w14:paraId="20A6297D" w14:textId="77777777" w:rsidR="00F849B8" w:rsidRDefault="00F849B8" w:rsidP="00F849B8">
            <w:pPr>
              <w:pStyle w:val="ListParagraph"/>
              <w:ind w:left="0"/>
            </w:pPr>
            <w:r>
              <w:t>The additional services</w:t>
            </w:r>
          </w:p>
        </w:tc>
        <w:tc>
          <w:tcPr>
            <w:tcW w:w="5487" w:type="dxa"/>
            <w:shd w:val="clear" w:color="auto" w:fill="FFF2CC" w:themeFill="accent4" w:themeFillTint="33"/>
          </w:tcPr>
          <w:p w14:paraId="2192607A" w14:textId="77777777" w:rsidR="00F849B8" w:rsidRDefault="00F849B8" w:rsidP="00F849B8">
            <w:pPr>
              <w:pStyle w:val="ListParagraph"/>
              <w:ind w:left="0"/>
            </w:pPr>
            <w:r>
              <w:t>Cryotherapy, curettage and cautery</w:t>
            </w:r>
          </w:p>
        </w:tc>
      </w:tr>
      <w:tr w:rsidR="00F849B8" w14:paraId="77F87603" w14:textId="77777777" w:rsidTr="00F849B8">
        <w:tc>
          <w:tcPr>
            <w:tcW w:w="4147" w:type="dxa"/>
            <w:shd w:val="clear" w:color="auto" w:fill="FFF2CC" w:themeFill="accent4" w:themeFillTint="33"/>
          </w:tcPr>
          <w:p w14:paraId="1D397EBD" w14:textId="77777777" w:rsidR="00F849B8" w:rsidRDefault="00F849B8" w:rsidP="00F849B8">
            <w:pPr>
              <w:pStyle w:val="ListParagraph"/>
              <w:ind w:left="0"/>
            </w:pPr>
            <w:r>
              <w:t>Toenails</w:t>
            </w:r>
          </w:p>
        </w:tc>
        <w:tc>
          <w:tcPr>
            <w:tcW w:w="5487" w:type="dxa"/>
            <w:shd w:val="clear" w:color="auto" w:fill="FFF2CC" w:themeFill="accent4" w:themeFillTint="33"/>
          </w:tcPr>
          <w:p w14:paraId="41BFD919" w14:textId="77777777" w:rsidR="00F849B8" w:rsidRDefault="00F849B8" w:rsidP="00F849B8">
            <w:pPr>
              <w:pStyle w:val="ListParagraph"/>
              <w:ind w:left="0"/>
            </w:pPr>
            <w:r>
              <w:t>Ingrowing toenail surgery</w:t>
            </w:r>
          </w:p>
        </w:tc>
      </w:tr>
      <w:tr w:rsidR="00F849B8" w14:paraId="51A356D9" w14:textId="77777777" w:rsidTr="00F849B8">
        <w:tc>
          <w:tcPr>
            <w:tcW w:w="4147" w:type="dxa"/>
            <w:shd w:val="clear" w:color="auto" w:fill="FFF2CC" w:themeFill="accent4" w:themeFillTint="33"/>
          </w:tcPr>
          <w:p w14:paraId="11D43A71" w14:textId="77777777" w:rsidR="00F849B8" w:rsidRDefault="00F849B8" w:rsidP="00F849B8">
            <w:pPr>
              <w:pStyle w:val="ListParagraph"/>
              <w:ind w:left="0"/>
            </w:pPr>
            <w:r>
              <w:t>The Elliptical Excision and Closure</w:t>
            </w:r>
          </w:p>
        </w:tc>
        <w:tc>
          <w:tcPr>
            <w:tcW w:w="5487" w:type="dxa"/>
            <w:shd w:val="clear" w:color="auto" w:fill="FFF2CC" w:themeFill="accent4" w:themeFillTint="33"/>
          </w:tcPr>
          <w:p w14:paraId="15D2C384" w14:textId="77777777" w:rsidR="00F849B8" w:rsidRDefault="00F849B8" w:rsidP="00F849B8">
            <w:pPr>
              <w:pStyle w:val="ListParagraph"/>
              <w:ind w:left="0"/>
            </w:pPr>
            <w:r>
              <w:t>Marking, cutting and skin closure</w:t>
            </w:r>
          </w:p>
        </w:tc>
      </w:tr>
      <w:tr w:rsidR="00F849B8" w14:paraId="620443B6" w14:textId="77777777" w:rsidTr="00F849B8">
        <w:tc>
          <w:tcPr>
            <w:tcW w:w="4147" w:type="dxa"/>
            <w:shd w:val="clear" w:color="auto" w:fill="FFF2CC" w:themeFill="accent4" w:themeFillTint="33"/>
          </w:tcPr>
          <w:p w14:paraId="0247B002" w14:textId="77777777" w:rsidR="00F849B8" w:rsidRDefault="00F849B8" w:rsidP="00F849B8">
            <w:pPr>
              <w:pStyle w:val="ListParagraph"/>
              <w:ind w:left="0"/>
            </w:pPr>
            <w:r>
              <w:t>Cysts</w:t>
            </w:r>
          </w:p>
        </w:tc>
        <w:tc>
          <w:tcPr>
            <w:tcW w:w="5487" w:type="dxa"/>
            <w:shd w:val="clear" w:color="auto" w:fill="FFF2CC" w:themeFill="accent4" w:themeFillTint="33"/>
          </w:tcPr>
          <w:p w14:paraId="1337E2CB" w14:textId="77777777" w:rsidR="00F849B8" w:rsidRDefault="00F849B8" w:rsidP="00F849B8">
            <w:pPr>
              <w:pStyle w:val="ListParagraph"/>
              <w:ind w:left="0"/>
            </w:pPr>
            <w:r>
              <w:t>Marking, cutting and alternative methods of skin closure</w:t>
            </w:r>
          </w:p>
        </w:tc>
      </w:tr>
    </w:tbl>
    <w:p w14:paraId="6DE9F48D" w14:textId="09DFF09F" w:rsidR="00C733EF" w:rsidRDefault="001A0096" w:rsidP="00C733EF">
      <w:r w:rsidRPr="00F849B8">
        <w:rPr>
          <w:b/>
          <w:bCs/>
          <w:u w:val="single"/>
        </w:rPr>
        <w:t>Online Teachable Theory Modules</w:t>
      </w:r>
      <w:r>
        <w:t>: students will be registered and provided individual links to</w:t>
      </w:r>
      <w:r w:rsidR="00F849B8">
        <w:t xml:space="preserve"> these.</w:t>
      </w:r>
    </w:p>
    <w:p w14:paraId="07A85218" w14:textId="77777777" w:rsidR="00C733EF" w:rsidRDefault="00C733EF" w:rsidP="00C733EF">
      <w:pPr>
        <w:contextualSpacing/>
      </w:pPr>
    </w:p>
    <w:p w14:paraId="4632728D" w14:textId="0CA3EC2E" w:rsidR="0034449F" w:rsidRPr="0034449F" w:rsidRDefault="00C733EF" w:rsidP="00C733EF">
      <w:pPr>
        <w:contextualSpacing/>
      </w:pPr>
      <w:r>
        <w:t>T</w:t>
      </w:r>
      <w:r w:rsidR="0034449F" w:rsidRPr="0034449F">
        <w:t>he last four topics above (apart from cryotherapy) are put into practice in the face-to-face practical day.</w:t>
      </w:r>
    </w:p>
    <w:p w14:paraId="18616C08" w14:textId="77777777" w:rsidR="0034449F" w:rsidRPr="0034449F" w:rsidRDefault="0034449F" w:rsidP="0034449F">
      <w:pPr>
        <w:ind w:left="720"/>
        <w:contextualSpacing/>
      </w:pPr>
    </w:p>
    <w:tbl>
      <w:tblPr>
        <w:tblStyle w:val="TableGrid"/>
        <w:tblW w:w="9639" w:type="dxa"/>
        <w:tblInd w:w="-5" w:type="dxa"/>
        <w:tblLook w:val="04A0" w:firstRow="1" w:lastRow="0" w:firstColumn="1" w:lastColumn="0" w:noHBand="0" w:noVBand="1"/>
      </w:tblPr>
      <w:tblGrid>
        <w:gridCol w:w="2033"/>
        <w:gridCol w:w="2140"/>
        <w:gridCol w:w="2024"/>
        <w:gridCol w:w="3442"/>
      </w:tblGrid>
      <w:tr w:rsidR="0034449F" w:rsidRPr="0034449F" w14:paraId="605166E5" w14:textId="77777777" w:rsidTr="00C733EF">
        <w:tc>
          <w:tcPr>
            <w:tcW w:w="2033" w:type="dxa"/>
            <w:shd w:val="clear" w:color="auto" w:fill="D9E2F3" w:themeFill="accent1" w:themeFillTint="33"/>
          </w:tcPr>
          <w:p w14:paraId="6C7A3C74" w14:textId="77777777" w:rsidR="0034449F" w:rsidRPr="0034449F" w:rsidRDefault="0034449F" w:rsidP="0034449F">
            <w:pPr>
              <w:contextualSpacing/>
            </w:pPr>
            <w:bookmarkStart w:id="0" w:name="_Hlk84786877"/>
            <w:r w:rsidRPr="0034449F">
              <w:t>AM</w:t>
            </w:r>
          </w:p>
        </w:tc>
        <w:tc>
          <w:tcPr>
            <w:tcW w:w="2140" w:type="dxa"/>
            <w:shd w:val="clear" w:color="auto" w:fill="D9E2F3" w:themeFill="accent1" w:themeFillTint="33"/>
          </w:tcPr>
          <w:p w14:paraId="286E2E45" w14:textId="77777777" w:rsidR="0034449F" w:rsidRPr="0034449F" w:rsidRDefault="0034449F" w:rsidP="0034449F">
            <w:pPr>
              <w:contextualSpacing/>
            </w:pPr>
          </w:p>
        </w:tc>
        <w:tc>
          <w:tcPr>
            <w:tcW w:w="2024" w:type="dxa"/>
            <w:shd w:val="clear" w:color="auto" w:fill="FFF2CC" w:themeFill="accent4" w:themeFillTint="33"/>
          </w:tcPr>
          <w:p w14:paraId="25F1D7EC" w14:textId="77777777" w:rsidR="0034449F" w:rsidRPr="0034449F" w:rsidRDefault="0034449F" w:rsidP="0034449F">
            <w:pPr>
              <w:contextualSpacing/>
            </w:pPr>
            <w:r w:rsidRPr="0034449F">
              <w:t>PM</w:t>
            </w:r>
          </w:p>
        </w:tc>
        <w:tc>
          <w:tcPr>
            <w:tcW w:w="3442" w:type="dxa"/>
            <w:shd w:val="clear" w:color="auto" w:fill="FFF2CC" w:themeFill="accent4" w:themeFillTint="33"/>
          </w:tcPr>
          <w:p w14:paraId="49F53DD1" w14:textId="77777777" w:rsidR="0034449F" w:rsidRPr="0034449F" w:rsidRDefault="0034449F" w:rsidP="0034449F">
            <w:pPr>
              <w:contextualSpacing/>
            </w:pPr>
          </w:p>
        </w:tc>
      </w:tr>
      <w:tr w:rsidR="0034449F" w:rsidRPr="0034449F" w14:paraId="14CA9DE5" w14:textId="77777777" w:rsidTr="00C733EF">
        <w:tc>
          <w:tcPr>
            <w:tcW w:w="2033" w:type="dxa"/>
            <w:shd w:val="clear" w:color="auto" w:fill="D9E2F3" w:themeFill="accent1" w:themeFillTint="33"/>
          </w:tcPr>
          <w:p w14:paraId="2DE55594" w14:textId="77777777" w:rsidR="0034449F" w:rsidRPr="0034449F" w:rsidRDefault="0034449F" w:rsidP="0034449F">
            <w:pPr>
              <w:contextualSpacing/>
            </w:pPr>
            <w:r w:rsidRPr="0034449F">
              <w:t>0900 -0920</w:t>
            </w:r>
          </w:p>
        </w:tc>
        <w:tc>
          <w:tcPr>
            <w:tcW w:w="2140" w:type="dxa"/>
            <w:shd w:val="clear" w:color="auto" w:fill="D9E2F3" w:themeFill="accent1" w:themeFillTint="33"/>
          </w:tcPr>
          <w:p w14:paraId="5210E84E" w14:textId="77777777" w:rsidR="0034449F" w:rsidRPr="0034449F" w:rsidRDefault="0034449F" w:rsidP="0034449F">
            <w:pPr>
              <w:contextualSpacing/>
            </w:pPr>
            <w:r w:rsidRPr="0034449F">
              <w:t>Intro: contracts and competencies</w:t>
            </w:r>
          </w:p>
        </w:tc>
        <w:tc>
          <w:tcPr>
            <w:tcW w:w="2024" w:type="dxa"/>
            <w:shd w:val="clear" w:color="auto" w:fill="FFF2CC" w:themeFill="accent4" w:themeFillTint="33"/>
          </w:tcPr>
          <w:p w14:paraId="6DACD47F" w14:textId="77777777" w:rsidR="0034449F" w:rsidRPr="0034449F" w:rsidRDefault="0034449F" w:rsidP="0034449F">
            <w:pPr>
              <w:contextualSpacing/>
            </w:pPr>
            <w:r w:rsidRPr="0034449F">
              <w:t>1340 – 1520</w:t>
            </w:r>
          </w:p>
        </w:tc>
        <w:tc>
          <w:tcPr>
            <w:tcW w:w="3442" w:type="dxa"/>
            <w:shd w:val="clear" w:color="auto" w:fill="FFF2CC" w:themeFill="accent4" w:themeFillTint="33"/>
          </w:tcPr>
          <w:p w14:paraId="1A60F603" w14:textId="77777777" w:rsidR="0034449F" w:rsidRPr="0034449F" w:rsidRDefault="0034449F" w:rsidP="0034449F">
            <w:pPr>
              <w:contextualSpacing/>
            </w:pPr>
            <w:r w:rsidRPr="0034449F">
              <w:t>The elliptical excision and skin closure</w:t>
            </w:r>
          </w:p>
        </w:tc>
      </w:tr>
      <w:tr w:rsidR="0034449F" w:rsidRPr="0034449F" w14:paraId="58C5989F" w14:textId="77777777" w:rsidTr="00C733EF">
        <w:tc>
          <w:tcPr>
            <w:tcW w:w="2033" w:type="dxa"/>
            <w:shd w:val="clear" w:color="auto" w:fill="FFF2CC" w:themeFill="accent4" w:themeFillTint="33"/>
          </w:tcPr>
          <w:p w14:paraId="3C1814A3" w14:textId="77777777" w:rsidR="0034449F" w:rsidRPr="0034449F" w:rsidRDefault="0034449F" w:rsidP="0034449F">
            <w:pPr>
              <w:contextualSpacing/>
            </w:pPr>
            <w:r w:rsidRPr="0034449F">
              <w:t>0920 - 1020</w:t>
            </w:r>
          </w:p>
        </w:tc>
        <w:tc>
          <w:tcPr>
            <w:tcW w:w="2140" w:type="dxa"/>
            <w:shd w:val="clear" w:color="auto" w:fill="FFF2CC" w:themeFill="accent4" w:themeFillTint="33"/>
          </w:tcPr>
          <w:p w14:paraId="02DC7EC5" w14:textId="77777777" w:rsidR="0034449F" w:rsidRPr="0034449F" w:rsidRDefault="0034449F" w:rsidP="0034449F">
            <w:pPr>
              <w:contextualSpacing/>
            </w:pPr>
            <w:r w:rsidRPr="0034449F">
              <w:t>Snip, shave &amp; curettage</w:t>
            </w:r>
          </w:p>
        </w:tc>
        <w:tc>
          <w:tcPr>
            <w:tcW w:w="2024" w:type="dxa"/>
            <w:shd w:val="clear" w:color="auto" w:fill="FFF2CC" w:themeFill="accent4" w:themeFillTint="33"/>
          </w:tcPr>
          <w:p w14:paraId="5FF7FEF7" w14:textId="77777777" w:rsidR="0034449F" w:rsidRPr="0034449F" w:rsidRDefault="0034449F" w:rsidP="0034449F">
            <w:pPr>
              <w:contextualSpacing/>
            </w:pPr>
            <w:r w:rsidRPr="0034449F">
              <w:t>1520 – 1540</w:t>
            </w:r>
          </w:p>
        </w:tc>
        <w:tc>
          <w:tcPr>
            <w:tcW w:w="3442" w:type="dxa"/>
            <w:shd w:val="clear" w:color="auto" w:fill="FFF2CC" w:themeFill="accent4" w:themeFillTint="33"/>
          </w:tcPr>
          <w:p w14:paraId="47FD3ACD" w14:textId="77777777" w:rsidR="0034449F" w:rsidRPr="0034449F" w:rsidRDefault="0034449F" w:rsidP="0034449F">
            <w:pPr>
              <w:contextualSpacing/>
            </w:pPr>
            <w:r w:rsidRPr="0034449F">
              <w:t>DOPS</w:t>
            </w:r>
          </w:p>
        </w:tc>
      </w:tr>
      <w:tr w:rsidR="0034449F" w:rsidRPr="0034449F" w14:paraId="110F0DAA" w14:textId="77777777" w:rsidTr="00C733EF">
        <w:tc>
          <w:tcPr>
            <w:tcW w:w="2033" w:type="dxa"/>
            <w:shd w:val="clear" w:color="auto" w:fill="FFF2CC" w:themeFill="accent4" w:themeFillTint="33"/>
          </w:tcPr>
          <w:p w14:paraId="2F7CF6E9" w14:textId="77777777" w:rsidR="0034449F" w:rsidRPr="0034449F" w:rsidRDefault="0034449F" w:rsidP="0034449F">
            <w:pPr>
              <w:contextualSpacing/>
            </w:pPr>
            <w:r w:rsidRPr="0034449F">
              <w:t>1020-1100</w:t>
            </w:r>
          </w:p>
        </w:tc>
        <w:tc>
          <w:tcPr>
            <w:tcW w:w="2140" w:type="dxa"/>
            <w:shd w:val="clear" w:color="auto" w:fill="FFF2CC" w:themeFill="accent4" w:themeFillTint="33"/>
          </w:tcPr>
          <w:p w14:paraId="681918BE" w14:textId="77777777" w:rsidR="0034449F" w:rsidRPr="0034449F" w:rsidRDefault="0034449F" w:rsidP="0034449F">
            <w:pPr>
              <w:contextualSpacing/>
            </w:pPr>
            <w:r w:rsidRPr="0034449F">
              <w:t>Toenails</w:t>
            </w:r>
          </w:p>
        </w:tc>
        <w:tc>
          <w:tcPr>
            <w:tcW w:w="2024" w:type="dxa"/>
            <w:shd w:val="clear" w:color="auto" w:fill="FFF2CC" w:themeFill="accent4" w:themeFillTint="33"/>
          </w:tcPr>
          <w:p w14:paraId="25D71188" w14:textId="77777777" w:rsidR="0034449F" w:rsidRPr="0034449F" w:rsidRDefault="0034449F" w:rsidP="0034449F">
            <w:pPr>
              <w:contextualSpacing/>
            </w:pPr>
            <w:r w:rsidRPr="0034449F">
              <w:t>1600 – 1700</w:t>
            </w:r>
          </w:p>
        </w:tc>
        <w:tc>
          <w:tcPr>
            <w:tcW w:w="3442" w:type="dxa"/>
            <w:shd w:val="clear" w:color="auto" w:fill="FFF2CC" w:themeFill="accent4" w:themeFillTint="33"/>
          </w:tcPr>
          <w:p w14:paraId="46C86672" w14:textId="77777777" w:rsidR="0034449F" w:rsidRPr="0034449F" w:rsidRDefault="0034449F" w:rsidP="0034449F">
            <w:pPr>
              <w:contextualSpacing/>
            </w:pPr>
            <w:r w:rsidRPr="0034449F">
              <w:t>Cysts and alternative methods of skin closure</w:t>
            </w:r>
          </w:p>
        </w:tc>
      </w:tr>
      <w:tr w:rsidR="0034449F" w:rsidRPr="0034449F" w14:paraId="3CE162D7" w14:textId="77777777" w:rsidTr="00C733EF">
        <w:tc>
          <w:tcPr>
            <w:tcW w:w="2033" w:type="dxa"/>
            <w:shd w:val="clear" w:color="auto" w:fill="D9E2F3" w:themeFill="accent1" w:themeFillTint="33"/>
          </w:tcPr>
          <w:p w14:paraId="098BFBF7" w14:textId="77777777" w:rsidR="0034449F" w:rsidRPr="0034449F" w:rsidRDefault="0034449F" w:rsidP="0034449F">
            <w:pPr>
              <w:contextualSpacing/>
            </w:pPr>
            <w:r w:rsidRPr="0034449F">
              <w:t>1100- 1115</w:t>
            </w:r>
          </w:p>
        </w:tc>
        <w:tc>
          <w:tcPr>
            <w:tcW w:w="2140" w:type="dxa"/>
            <w:shd w:val="clear" w:color="auto" w:fill="D9E2F3" w:themeFill="accent1" w:themeFillTint="33"/>
          </w:tcPr>
          <w:p w14:paraId="5A4DF7F7" w14:textId="77777777" w:rsidR="0034449F" w:rsidRPr="0034449F" w:rsidRDefault="0034449F" w:rsidP="0034449F">
            <w:pPr>
              <w:contextualSpacing/>
            </w:pPr>
            <w:r w:rsidRPr="0034449F">
              <w:t>Break</w:t>
            </w:r>
          </w:p>
        </w:tc>
        <w:tc>
          <w:tcPr>
            <w:tcW w:w="2024" w:type="dxa"/>
          </w:tcPr>
          <w:p w14:paraId="7C2E9246" w14:textId="77777777" w:rsidR="0034449F" w:rsidRPr="0034449F" w:rsidRDefault="0034449F" w:rsidP="0034449F">
            <w:pPr>
              <w:contextualSpacing/>
            </w:pPr>
          </w:p>
        </w:tc>
        <w:tc>
          <w:tcPr>
            <w:tcW w:w="3442" w:type="dxa"/>
          </w:tcPr>
          <w:p w14:paraId="21AE7594" w14:textId="77777777" w:rsidR="0034449F" w:rsidRPr="0034449F" w:rsidRDefault="0034449F" w:rsidP="0034449F">
            <w:pPr>
              <w:contextualSpacing/>
            </w:pPr>
          </w:p>
        </w:tc>
      </w:tr>
      <w:bookmarkEnd w:id="0"/>
      <w:tr w:rsidR="0034449F" w:rsidRPr="0034449F" w14:paraId="088401B1" w14:textId="77777777" w:rsidTr="00C733EF">
        <w:tc>
          <w:tcPr>
            <w:tcW w:w="2033" w:type="dxa"/>
            <w:shd w:val="clear" w:color="auto" w:fill="FFF2CC" w:themeFill="accent4" w:themeFillTint="33"/>
          </w:tcPr>
          <w:p w14:paraId="2D99B52A" w14:textId="77777777" w:rsidR="0034449F" w:rsidRPr="0034449F" w:rsidRDefault="0034449F" w:rsidP="0034449F">
            <w:pPr>
              <w:contextualSpacing/>
            </w:pPr>
            <w:r w:rsidRPr="0034449F">
              <w:t>1115 - 1215</w:t>
            </w:r>
          </w:p>
        </w:tc>
        <w:tc>
          <w:tcPr>
            <w:tcW w:w="2140" w:type="dxa"/>
            <w:shd w:val="clear" w:color="auto" w:fill="FFF2CC" w:themeFill="accent4" w:themeFillTint="33"/>
          </w:tcPr>
          <w:p w14:paraId="7CC7C4AD" w14:textId="77777777" w:rsidR="0034449F" w:rsidRPr="0034449F" w:rsidRDefault="0034449F" w:rsidP="0034449F">
            <w:pPr>
              <w:contextualSpacing/>
            </w:pPr>
            <w:r w:rsidRPr="0034449F">
              <w:t>Superficial and deep dermal suture</w:t>
            </w:r>
          </w:p>
          <w:p w14:paraId="16D11870" w14:textId="77777777" w:rsidR="0034449F" w:rsidRPr="0034449F" w:rsidRDefault="0034449F" w:rsidP="0034449F">
            <w:pPr>
              <w:contextualSpacing/>
            </w:pPr>
          </w:p>
        </w:tc>
        <w:tc>
          <w:tcPr>
            <w:tcW w:w="2024" w:type="dxa"/>
          </w:tcPr>
          <w:p w14:paraId="6EA33044" w14:textId="77777777" w:rsidR="0034449F" w:rsidRPr="0034449F" w:rsidRDefault="0034449F" w:rsidP="0034449F">
            <w:pPr>
              <w:contextualSpacing/>
            </w:pPr>
          </w:p>
        </w:tc>
        <w:tc>
          <w:tcPr>
            <w:tcW w:w="3442" w:type="dxa"/>
          </w:tcPr>
          <w:p w14:paraId="057F87A9" w14:textId="77777777" w:rsidR="0034449F" w:rsidRPr="0034449F" w:rsidRDefault="0034449F" w:rsidP="0034449F">
            <w:pPr>
              <w:contextualSpacing/>
            </w:pPr>
          </w:p>
        </w:tc>
      </w:tr>
      <w:tr w:rsidR="0034449F" w:rsidRPr="0034449F" w14:paraId="6B09D0A9" w14:textId="77777777" w:rsidTr="00C733EF">
        <w:tc>
          <w:tcPr>
            <w:tcW w:w="2033" w:type="dxa"/>
            <w:shd w:val="clear" w:color="auto" w:fill="D9E2F3" w:themeFill="accent1" w:themeFillTint="33"/>
          </w:tcPr>
          <w:p w14:paraId="4B41859E" w14:textId="77777777" w:rsidR="0034449F" w:rsidRPr="0034449F" w:rsidRDefault="0034449F" w:rsidP="0034449F">
            <w:pPr>
              <w:contextualSpacing/>
            </w:pPr>
            <w:r w:rsidRPr="0034449F">
              <w:t>1215 - 1300</w:t>
            </w:r>
          </w:p>
        </w:tc>
        <w:tc>
          <w:tcPr>
            <w:tcW w:w="2140" w:type="dxa"/>
            <w:shd w:val="clear" w:color="auto" w:fill="D9E2F3" w:themeFill="accent1" w:themeFillTint="33"/>
          </w:tcPr>
          <w:p w14:paraId="2BAFDF95" w14:textId="77777777" w:rsidR="0034449F" w:rsidRPr="0034449F" w:rsidRDefault="0034449F" w:rsidP="0034449F">
            <w:pPr>
              <w:contextualSpacing/>
            </w:pPr>
            <w:r w:rsidRPr="0034449F">
              <w:t>The rules of skin surgery</w:t>
            </w:r>
          </w:p>
        </w:tc>
        <w:tc>
          <w:tcPr>
            <w:tcW w:w="2024" w:type="dxa"/>
          </w:tcPr>
          <w:p w14:paraId="15212129" w14:textId="77777777" w:rsidR="0034449F" w:rsidRPr="0034449F" w:rsidRDefault="0034449F" w:rsidP="0034449F">
            <w:pPr>
              <w:contextualSpacing/>
            </w:pPr>
          </w:p>
        </w:tc>
        <w:tc>
          <w:tcPr>
            <w:tcW w:w="3442" w:type="dxa"/>
          </w:tcPr>
          <w:p w14:paraId="3301E70E" w14:textId="77777777" w:rsidR="0034449F" w:rsidRPr="0034449F" w:rsidRDefault="0034449F" w:rsidP="0034449F">
            <w:pPr>
              <w:contextualSpacing/>
            </w:pPr>
          </w:p>
        </w:tc>
      </w:tr>
    </w:tbl>
    <w:p w14:paraId="7296D5A8" w14:textId="77777777" w:rsidR="0034449F" w:rsidRPr="0034449F" w:rsidRDefault="0034449F" w:rsidP="0034449F">
      <w:pPr>
        <w:spacing w:after="0" w:line="240" w:lineRule="auto"/>
        <w:ind w:left="720"/>
        <w:rPr>
          <w:rFonts w:ascii="Calibri" w:hAnsi="Calibri"/>
          <w:szCs w:val="21"/>
        </w:rPr>
      </w:pPr>
    </w:p>
    <w:p w14:paraId="3EDD94D2" w14:textId="77777777" w:rsidR="00E44062" w:rsidRPr="00C733EF" w:rsidRDefault="00E44062" w:rsidP="00E44062">
      <w:pPr>
        <w:pStyle w:val="Heading1"/>
        <w:rPr>
          <w:u w:val="single"/>
        </w:rPr>
      </w:pPr>
      <w:r w:rsidRPr="00C733EF">
        <w:rPr>
          <w:u w:val="single"/>
        </w:rPr>
        <w:lastRenderedPageBreak/>
        <w:t>Minor Surgery – Update course</w:t>
      </w:r>
    </w:p>
    <w:p w14:paraId="55A32304" w14:textId="77777777" w:rsidR="00E44062" w:rsidRPr="00C733EF" w:rsidRDefault="00E44062" w:rsidP="00E44062">
      <w:pPr>
        <w:pStyle w:val="PlainText"/>
      </w:pPr>
      <w:r>
        <w:t xml:space="preserve">The </w:t>
      </w:r>
      <w:r>
        <w:rPr>
          <w:b/>
          <w:bCs/>
        </w:rPr>
        <w:t>minor surgery update course</w:t>
      </w:r>
      <w:r>
        <w:t xml:space="preserve"> was designed in 2011, by Dr. Soon Lim, following the publication of the competencies required for experienced GPs who carry out skin surgery and therefore did not need to sit through a full basic course. The programme continues to evolve but focuses on “doing simple things with attention to detail” to achieve good clinical outcomes.</w:t>
      </w:r>
    </w:p>
    <w:p w14:paraId="6E832B6A" w14:textId="77777777" w:rsidR="00E44062" w:rsidRDefault="00E44062" w:rsidP="00E44062">
      <w:pPr>
        <w:pStyle w:val="PlainText"/>
        <w:rPr>
          <w:b/>
          <w:bCs/>
          <w:u w:val="single"/>
        </w:rPr>
      </w:pPr>
    </w:p>
    <w:p w14:paraId="39256EFB" w14:textId="77333D5C" w:rsidR="00E44062" w:rsidRDefault="00E44062" w:rsidP="00E44062">
      <w:pPr>
        <w:pStyle w:val="PlainText"/>
      </w:pPr>
      <w:r>
        <w:t xml:space="preserve">To reduce the time spent in an indoor meeting, the theory lectures covering the hot topics and medicolegal casebook have been shifted to an online </w:t>
      </w:r>
      <w:r>
        <w:t>platform and</w:t>
      </w:r>
      <w:r>
        <w:t xml:space="preserve"> therefore can be accessed afterwards as a reference resource. However, the first hour of the programme includes an opportunity for delegates to bring up, share and discuss any aspect of their minor surgery practice. </w:t>
      </w:r>
    </w:p>
    <w:p w14:paraId="6C1F5531" w14:textId="77777777" w:rsidR="00E44062" w:rsidRDefault="00E44062" w:rsidP="00E44062">
      <w:pPr>
        <w:pStyle w:val="PlainText"/>
        <w:ind w:left="720"/>
      </w:pPr>
    </w:p>
    <w:p w14:paraId="091439FB" w14:textId="77777777" w:rsidR="00E44062" w:rsidRDefault="00E44062" w:rsidP="00E44062">
      <w:pPr>
        <w:pStyle w:val="PlainText"/>
      </w:pPr>
      <w:r>
        <w:t>This leaves the practical skills which are taught, practiced, and assessed over 2 hours. The practical sessions are carried out on raw pig skin rather than foam. The current focus is on skin closure to avoid suture marks. Following the course, certificates of CPD and of DOPS assessment are awarded. Since the programme has been developed the certificates have been accepted for reaccreditation, appraisal and revalidation across England and Wales.</w:t>
      </w:r>
    </w:p>
    <w:p w14:paraId="400FAD89" w14:textId="77777777" w:rsidR="00C733EF" w:rsidRPr="00C733EF" w:rsidRDefault="00C733EF" w:rsidP="00C733EF">
      <w:pPr>
        <w:pStyle w:val="Heading1"/>
        <w:rPr>
          <w:u w:val="single"/>
        </w:rPr>
      </w:pPr>
      <w:r w:rsidRPr="00C733EF">
        <w:rPr>
          <w:u w:val="single"/>
        </w:rPr>
        <w:t>Joint Injections</w:t>
      </w:r>
    </w:p>
    <w:p w14:paraId="6A4301CE" w14:textId="6B15665D" w:rsidR="001C26A7" w:rsidRDefault="00C733EF" w:rsidP="00C733EF">
      <w:pPr>
        <w:spacing w:after="0" w:line="240" w:lineRule="auto"/>
        <w:rPr>
          <w:rFonts w:ascii="Calibri" w:hAnsi="Calibri"/>
          <w:szCs w:val="21"/>
        </w:rPr>
      </w:pPr>
      <w:r w:rsidRPr="0034449F">
        <w:rPr>
          <w:rFonts w:ascii="Calibri" w:hAnsi="Calibri"/>
          <w:szCs w:val="21"/>
        </w:rPr>
        <w:t>The joint injection course is based on the old RCGP 1-day course which has been converted to a hybrid online/attended format as well. It covers the diagnostic tests, injection techniques and rehab exercises for the most injected condition in primary care for the elbow, shoulder, hand/</w:t>
      </w:r>
      <w:r w:rsidR="007C2270" w:rsidRPr="0034449F">
        <w:rPr>
          <w:rFonts w:ascii="Calibri" w:hAnsi="Calibri"/>
          <w:szCs w:val="21"/>
        </w:rPr>
        <w:t>wrist,</w:t>
      </w:r>
      <w:r w:rsidRPr="0034449F">
        <w:rPr>
          <w:rFonts w:ascii="Calibri" w:hAnsi="Calibri"/>
          <w:szCs w:val="21"/>
        </w:rPr>
        <w:t xml:space="preserve"> and knee. The 3-hour practical sessions will be carried out on synthetic simulation mannequins. There will be a choice of 2 sessions (9.30-12.30 or 1.30-4.30) with a ratio of 2 delegates to a full set of mannequins. </w:t>
      </w:r>
      <w:r w:rsidR="00E44062">
        <w:rPr>
          <w:rFonts w:ascii="Calibri" w:hAnsi="Calibri"/>
          <w:szCs w:val="21"/>
        </w:rPr>
        <w:t xml:space="preserve"> </w:t>
      </w:r>
      <w:r w:rsidRPr="0034449F">
        <w:rPr>
          <w:rFonts w:ascii="Calibri" w:hAnsi="Calibri"/>
          <w:szCs w:val="21"/>
        </w:rPr>
        <w:t>Following the course, a certificate of CPD is awarded.</w:t>
      </w:r>
      <w:r w:rsidR="00FC6CF1">
        <w:rPr>
          <w:rFonts w:ascii="Calibri" w:hAnsi="Calibri"/>
          <w:szCs w:val="21"/>
        </w:rPr>
        <w:t xml:space="preserve">  </w:t>
      </w:r>
    </w:p>
    <w:p w14:paraId="1DA89466" w14:textId="77777777" w:rsidR="001C26A7" w:rsidRDefault="001C26A7" w:rsidP="00C733EF">
      <w:pPr>
        <w:spacing w:after="0" w:line="240" w:lineRule="auto"/>
        <w:rPr>
          <w:rFonts w:ascii="Calibri" w:hAnsi="Calibri"/>
          <w:szCs w:val="21"/>
        </w:rPr>
      </w:pPr>
    </w:p>
    <w:p w14:paraId="68B9BC52" w14:textId="77777777" w:rsidR="00E44062" w:rsidRDefault="001C26A7" w:rsidP="00C733EF">
      <w:pPr>
        <w:spacing w:after="0" w:line="240" w:lineRule="auto"/>
        <w:rPr>
          <w:rStyle w:val="IntenseEmphasis"/>
        </w:rPr>
      </w:pPr>
      <w:r w:rsidRPr="001C26A7">
        <w:rPr>
          <w:rStyle w:val="IntenseEmphasis"/>
        </w:rPr>
        <w:t>Who is it for?</w:t>
      </w:r>
      <w:r w:rsidR="00E44062">
        <w:rPr>
          <w:rStyle w:val="IntenseEmphasis"/>
        </w:rPr>
        <w:t xml:space="preserve"> </w:t>
      </w:r>
    </w:p>
    <w:p w14:paraId="4DBFD226" w14:textId="77777777" w:rsidR="00E44062" w:rsidRDefault="00E44062" w:rsidP="00C733EF">
      <w:pPr>
        <w:spacing w:after="0" w:line="240" w:lineRule="auto"/>
        <w:rPr>
          <w:rStyle w:val="IntenseEmphasis"/>
        </w:rPr>
      </w:pPr>
    </w:p>
    <w:p w14:paraId="34813DAE" w14:textId="387A7AA5" w:rsidR="00C733EF" w:rsidRPr="00A964AC" w:rsidRDefault="00FC6CF1" w:rsidP="00C733EF">
      <w:pPr>
        <w:spacing w:after="0" w:line="240" w:lineRule="auto"/>
        <w:rPr>
          <w:rFonts w:cstheme="minorHAnsi"/>
          <w:i/>
          <w:iCs/>
          <w:szCs w:val="21"/>
        </w:rPr>
      </w:pPr>
      <w:r w:rsidRPr="00FC6CF1">
        <w:rPr>
          <w:rFonts w:eastAsia="Times New Roman" w:cstheme="minorHAnsi"/>
          <w:color w:val="000000"/>
          <w:sz w:val="24"/>
          <w:szCs w:val="24"/>
        </w:rPr>
        <w:t xml:space="preserve">It is suitable for novices for </w:t>
      </w:r>
      <w:r w:rsidR="00E44062" w:rsidRPr="00E44062">
        <w:rPr>
          <w:rFonts w:eastAsia="Times New Roman" w:cstheme="minorHAnsi"/>
          <w:color w:val="000000"/>
          <w:sz w:val="24"/>
          <w:szCs w:val="24"/>
        </w:rPr>
        <w:t>GPs, GPSTs, ANPs, ACPs</w:t>
      </w:r>
      <w:r w:rsidRPr="00FC6CF1">
        <w:rPr>
          <w:rFonts w:eastAsia="Times New Roman" w:cstheme="minorHAnsi"/>
          <w:color w:val="000000"/>
          <w:sz w:val="24"/>
          <w:szCs w:val="24"/>
        </w:rPr>
        <w:t xml:space="preserve">. </w:t>
      </w:r>
      <w:r w:rsidR="00E44062">
        <w:rPr>
          <w:rFonts w:eastAsia="Times New Roman" w:cstheme="minorHAnsi"/>
          <w:color w:val="000000"/>
          <w:sz w:val="24"/>
          <w:szCs w:val="24"/>
        </w:rPr>
        <w:t xml:space="preserve"> </w:t>
      </w:r>
      <w:r w:rsidRPr="00A964AC">
        <w:rPr>
          <w:rFonts w:eastAsia="Times New Roman" w:cstheme="minorHAnsi"/>
          <w:i/>
          <w:iCs/>
          <w:color w:val="000000"/>
          <w:sz w:val="24"/>
          <w:szCs w:val="24"/>
        </w:rPr>
        <w:t xml:space="preserve">It is a suitable </w:t>
      </w:r>
      <w:r w:rsidR="002E0857" w:rsidRPr="0099317A">
        <w:rPr>
          <w:rFonts w:eastAsia="Times New Roman" w:cstheme="minorHAnsi"/>
          <w:b/>
          <w:bCs/>
          <w:i/>
          <w:iCs/>
          <w:color w:val="000000"/>
          <w:sz w:val="24"/>
          <w:szCs w:val="24"/>
        </w:rPr>
        <w:t>UPDATE</w:t>
      </w:r>
      <w:r w:rsidRPr="0099317A">
        <w:rPr>
          <w:rFonts w:eastAsia="Times New Roman" w:cstheme="minorHAnsi"/>
          <w:b/>
          <w:bCs/>
          <w:i/>
          <w:iCs/>
          <w:color w:val="000000"/>
          <w:sz w:val="24"/>
          <w:szCs w:val="24"/>
        </w:rPr>
        <w:t xml:space="preserve"> for Physiotherapists</w:t>
      </w:r>
      <w:r w:rsidR="00FB13AB" w:rsidRPr="00A964AC">
        <w:rPr>
          <w:rFonts w:eastAsia="Times New Roman" w:cstheme="minorHAnsi"/>
          <w:i/>
          <w:iCs/>
          <w:color w:val="000000"/>
          <w:sz w:val="24"/>
          <w:szCs w:val="24"/>
        </w:rPr>
        <w:t xml:space="preserve"> already trained in joint </w:t>
      </w:r>
      <w:r w:rsidR="00A964AC" w:rsidRPr="00A964AC">
        <w:rPr>
          <w:rFonts w:eastAsia="Times New Roman" w:cstheme="minorHAnsi"/>
          <w:i/>
          <w:iCs/>
          <w:color w:val="000000"/>
          <w:sz w:val="24"/>
          <w:szCs w:val="24"/>
        </w:rPr>
        <w:t>injections but</w:t>
      </w:r>
      <w:r w:rsidRPr="00A964AC">
        <w:rPr>
          <w:rFonts w:eastAsia="Times New Roman" w:cstheme="minorHAnsi"/>
          <w:i/>
          <w:iCs/>
          <w:color w:val="000000"/>
          <w:sz w:val="24"/>
          <w:szCs w:val="24"/>
        </w:rPr>
        <w:t xml:space="preserve"> is </w:t>
      </w:r>
      <w:r w:rsidR="00FB13AB" w:rsidRPr="00A964AC">
        <w:rPr>
          <w:rFonts w:eastAsia="Times New Roman" w:cstheme="minorHAnsi"/>
          <w:i/>
          <w:iCs/>
          <w:color w:val="000000"/>
          <w:sz w:val="24"/>
          <w:szCs w:val="24"/>
        </w:rPr>
        <w:t>NOT</w:t>
      </w:r>
      <w:r w:rsidRPr="00A964AC">
        <w:rPr>
          <w:rFonts w:eastAsia="Times New Roman" w:cstheme="minorHAnsi"/>
          <w:i/>
          <w:iCs/>
          <w:color w:val="000000"/>
          <w:sz w:val="24"/>
          <w:szCs w:val="24"/>
        </w:rPr>
        <w:t xml:space="preserve"> for novice physiotherapists.</w:t>
      </w:r>
    </w:p>
    <w:p w14:paraId="5D281F0A" w14:textId="77777777" w:rsidR="00C733EF" w:rsidRPr="0034449F" w:rsidRDefault="00C733EF" w:rsidP="00C733EF">
      <w:pPr>
        <w:ind w:left="720"/>
        <w:contextualSpacing/>
      </w:pPr>
    </w:p>
    <w:p w14:paraId="784A18F5" w14:textId="6402207F" w:rsidR="00C733EF" w:rsidRDefault="00C733EF" w:rsidP="00587704">
      <w:pPr>
        <w:contextualSpacing/>
      </w:pPr>
      <w:r w:rsidRPr="00D136DC">
        <w:rPr>
          <w:b/>
          <w:bCs/>
          <w:u w:val="single"/>
        </w:rPr>
        <w:t>Online Theory Modules:</w:t>
      </w:r>
      <w:r w:rsidR="00EB468E">
        <w:t xml:space="preserve">  students will be registered and provided individual links to these.</w:t>
      </w:r>
    </w:p>
    <w:p w14:paraId="29D3F5D8" w14:textId="77777777" w:rsidR="00EB468E" w:rsidRPr="0034449F" w:rsidRDefault="00EB468E" w:rsidP="00587704">
      <w:pPr>
        <w:contextualSpacing/>
      </w:pPr>
    </w:p>
    <w:tbl>
      <w:tblPr>
        <w:tblStyle w:val="TableGrid"/>
        <w:tblW w:w="0" w:type="auto"/>
        <w:tblInd w:w="720" w:type="dxa"/>
        <w:tblLook w:val="04A0" w:firstRow="1" w:lastRow="0" w:firstColumn="1" w:lastColumn="0" w:noHBand="0" w:noVBand="1"/>
      </w:tblPr>
      <w:tblGrid>
        <w:gridCol w:w="4128"/>
        <w:gridCol w:w="4168"/>
      </w:tblGrid>
      <w:tr w:rsidR="00C733EF" w:rsidRPr="0034449F" w14:paraId="456F47D0" w14:textId="77777777" w:rsidTr="00B16798">
        <w:tc>
          <w:tcPr>
            <w:tcW w:w="4128" w:type="dxa"/>
            <w:shd w:val="clear" w:color="auto" w:fill="D9E2F3" w:themeFill="accent1" w:themeFillTint="33"/>
          </w:tcPr>
          <w:p w14:paraId="4DAC6A2F" w14:textId="77777777" w:rsidR="00C733EF" w:rsidRPr="0034449F" w:rsidRDefault="00C733EF" w:rsidP="00B16798">
            <w:pPr>
              <w:contextualSpacing/>
            </w:pPr>
            <w:r w:rsidRPr="0034449F">
              <w:t>MSK Steroid Injections</w:t>
            </w:r>
          </w:p>
        </w:tc>
        <w:tc>
          <w:tcPr>
            <w:tcW w:w="4168" w:type="dxa"/>
          </w:tcPr>
          <w:p w14:paraId="6A727E97" w14:textId="77777777" w:rsidR="00C733EF" w:rsidRPr="0034449F" w:rsidRDefault="00C733EF" w:rsidP="00B16798">
            <w:pPr>
              <w:contextualSpacing/>
            </w:pPr>
            <w:r w:rsidRPr="0034449F">
              <w:t>The why, who, what, when and how of corticosteroid injections.</w:t>
            </w:r>
          </w:p>
        </w:tc>
      </w:tr>
      <w:tr w:rsidR="00C733EF" w:rsidRPr="0034449F" w14:paraId="7FEC5256" w14:textId="77777777" w:rsidTr="00B16798">
        <w:tc>
          <w:tcPr>
            <w:tcW w:w="4128" w:type="dxa"/>
            <w:shd w:val="clear" w:color="auto" w:fill="D9E2F3" w:themeFill="accent1" w:themeFillTint="33"/>
          </w:tcPr>
          <w:p w14:paraId="5922D20C" w14:textId="77777777" w:rsidR="00C733EF" w:rsidRPr="0034449F" w:rsidRDefault="00C733EF" w:rsidP="00B16798">
            <w:pPr>
              <w:contextualSpacing/>
            </w:pPr>
            <w:r w:rsidRPr="0034449F">
              <w:t>Elbows</w:t>
            </w:r>
          </w:p>
        </w:tc>
        <w:tc>
          <w:tcPr>
            <w:tcW w:w="4168" w:type="dxa"/>
            <w:vMerge w:val="restart"/>
          </w:tcPr>
          <w:p w14:paraId="27E10E3F" w14:textId="25D7A22C" w:rsidR="00C733EF" w:rsidRPr="0034449F" w:rsidRDefault="00C733EF" w:rsidP="00B16798">
            <w:pPr>
              <w:contextualSpacing/>
            </w:pPr>
            <w:r w:rsidRPr="0034449F">
              <w:t xml:space="preserve">Pathology, clinical diagnosis, conservative management, </w:t>
            </w:r>
            <w:r w:rsidR="007C2270" w:rsidRPr="0034449F">
              <w:t>injection,</w:t>
            </w:r>
            <w:r w:rsidRPr="0034449F">
              <w:t xml:space="preserve"> and surgical options for common conditions.</w:t>
            </w:r>
          </w:p>
        </w:tc>
      </w:tr>
      <w:tr w:rsidR="00C733EF" w:rsidRPr="0034449F" w14:paraId="7974080A" w14:textId="77777777" w:rsidTr="00B16798">
        <w:tc>
          <w:tcPr>
            <w:tcW w:w="4128" w:type="dxa"/>
            <w:shd w:val="clear" w:color="auto" w:fill="D9E2F3" w:themeFill="accent1" w:themeFillTint="33"/>
          </w:tcPr>
          <w:p w14:paraId="281FAA13" w14:textId="77777777" w:rsidR="00C733EF" w:rsidRPr="0034449F" w:rsidRDefault="00C733EF" w:rsidP="00B16798">
            <w:pPr>
              <w:contextualSpacing/>
            </w:pPr>
            <w:r w:rsidRPr="0034449F">
              <w:t>Shoulders</w:t>
            </w:r>
          </w:p>
        </w:tc>
        <w:tc>
          <w:tcPr>
            <w:tcW w:w="4168" w:type="dxa"/>
            <w:vMerge/>
          </w:tcPr>
          <w:p w14:paraId="61CC660E" w14:textId="77777777" w:rsidR="00C733EF" w:rsidRPr="0034449F" w:rsidRDefault="00C733EF" w:rsidP="00B16798">
            <w:pPr>
              <w:contextualSpacing/>
            </w:pPr>
          </w:p>
        </w:tc>
      </w:tr>
      <w:tr w:rsidR="00C733EF" w:rsidRPr="0034449F" w14:paraId="6ED60B6F" w14:textId="77777777" w:rsidTr="00B16798">
        <w:tc>
          <w:tcPr>
            <w:tcW w:w="4128" w:type="dxa"/>
            <w:shd w:val="clear" w:color="auto" w:fill="D9E2F3" w:themeFill="accent1" w:themeFillTint="33"/>
          </w:tcPr>
          <w:p w14:paraId="7365697B" w14:textId="77777777" w:rsidR="00C733EF" w:rsidRPr="0034449F" w:rsidRDefault="00C733EF" w:rsidP="00B16798">
            <w:pPr>
              <w:contextualSpacing/>
            </w:pPr>
            <w:r w:rsidRPr="0034449F">
              <w:t>Hands &amp; wrists</w:t>
            </w:r>
          </w:p>
        </w:tc>
        <w:tc>
          <w:tcPr>
            <w:tcW w:w="4168" w:type="dxa"/>
            <w:vMerge/>
          </w:tcPr>
          <w:p w14:paraId="148C8BA6" w14:textId="77777777" w:rsidR="00C733EF" w:rsidRPr="0034449F" w:rsidRDefault="00C733EF" w:rsidP="00B16798">
            <w:pPr>
              <w:contextualSpacing/>
            </w:pPr>
          </w:p>
        </w:tc>
      </w:tr>
      <w:tr w:rsidR="00C733EF" w:rsidRPr="0034449F" w14:paraId="56A925A2" w14:textId="77777777" w:rsidTr="00B16798">
        <w:tc>
          <w:tcPr>
            <w:tcW w:w="4128" w:type="dxa"/>
            <w:shd w:val="clear" w:color="auto" w:fill="D9E2F3" w:themeFill="accent1" w:themeFillTint="33"/>
          </w:tcPr>
          <w:p w14:paraId="2481A101" w14:textId="77777777" w:rsidR="00C733EF" w:rsidRPr="0034449F" w:rsidRDefault="00C733EF" w:rsidP="00B16798">
            <w:pPr>
              <w:contextualSpacing/>
            </w:pPr>
            <w:r w:rsidRPr="0034449F">
              <w:t>Lower Limb</w:t>
            </w:r>
          </w:p>
        </w:tc>
        <w:tc>
          <w:tcPr>
            <w:tcW w:w="4168" w:type="dxa"/>
            <w:vMerge/>
          </w:tcPr>
          <w:p w14:paraId="1C0A6A9F" w14:textId="77777777" w:rsidR="00C733EF" w:rsidRPr="0034449F" w:rsidRDefault="00C733EF" w:rsidP="00B16798">
            <w:pPr>
              <w:contextualSpacing/>
            </w:pPr>
          </w:p>
        </w:tc>
      </w:tr>
    </w:tbl>
    <w:p w14:paraId="3215A9D2" w14:textId="77777777" w:rsidR="00C733EF" w:rsidRPr="0034449F" w:rsidRDefault="00C733EF" w:rsidP="00C733EF">
      <w:pPr>
        <w:ind w:left="720"/>
        <w:contextualSpacing/>
      </w:pPr>
    </w:p>
    <w:p w14:paraId="04209B55" w14:textId="64E9C330" w:rsidR="00C733EF" w:rsidRPr="00D136DC" w:rsidRDefault="00C733EF" w:rsidP="00EB468E">
      <w:pPr>
        <w:rPr>
          <w:b/>
          <w:bCs/>
          <w:u w:val="single"/>
        </w:rPr>
      </w:pPr>
      <w:r w:rsidRPr="00D136DC">
        <w:rPr>
          <w:b/>
          <w:bCs/>
          <w:u w:val="single"/>
        </w:rPr>
        <w:t>F2F Practical modules:</w:t>
      </w:r>
      <w:r w:rsidR="00587704" w:rsidRPr="00D136DC">
        <w:rPr>
          <w:b/>
          <w:bCs/>
          <w:u w:val="single"/>
        </w:rPr>
        <w:t xml:space="preserve"> </w:t>
      </w:r>
    </w:p>
    <w:tbl>
      <w:tblPr>
        <w:tblStyle w:val="TableGrid"/>
        <w:tblW w:w="8296" w:type="dxa"/>
        <w:tblInd w:w="720" w:type="dxa"/>
        <w:tblLook w:val="04A0" w:firstRow="1" w:lastRow="0" w:firstColumn="1" w:lastColumn="0" w:noHBand="0" w:noVBand="1"/>
      </w:tblPr>
      <w:tblGrid>
        <w:gridCol w:w="4148"/>
        <w:gridCol w:w="4148"/>
      </w:tblGrid>
      <w:tr w:rsidR="00C733EF" w:rsidRPr="0034449F" w14:paraId="2E7D5C2B" w14:textId="77777777" w:rsidTr="00B16798">
        <w:tc>
          <w:tcPr>
            <w:tcW w:w="4148" w:type="dxa"/>
            <w:shd w:val="clear" w:color="auto" w:fill="FFF2CC" w:themeFill="accent4" w:themeFillTint="33"/>
          </w:tcPr>
          <w:p w14:paraId="71F3CEA3" w14:textId="77777777" w:rsidR="00C733EF" w:rsidRPr="0034449F" w:rsidRDefault="00C733EF" w:rsidP="00B16798">
            <w:pPr>
              <w:contextualSpacing/>
            </w:pPr>
            <w:r w:rsidRPr="0034449F">
              <w:t>Intro</w:t>
            </w:r>
          </w:p>
        </w:tc>
        <w:tc>
          <w:tcPr>
            <w:tcW w:w="4148" w:type="dxa"/>
          </w:tcPr>
          <w:p w14:paraId="314B3D59" w14:textId="77777777" w:rsidR="00C733EF" w:rsidRPr="0034449F" w:rsidRDefault="00C733EF" w:rsidP="00B16798">
            <w:pPr>
              <w:contextualSpacing/>
            </w:pPr>
            <w:r w:rsidRPr="0034449F">
              <w:t>20min</w:t>
            </w:r>
          </w:p>
        </w:tc>
      </w:tr>
      <w:tr w:rsidR="00C733EF" w:rsidRPr="0034449F" w14:paraId="3F7AE192" w14:textId="77777777" w:rsidTr="00B16798">
        <w:tc>
          <w:tcPr>
            <w:tcW w:w="4148" w:type="dxa"/>
            <w:shd w:val="clear" w:color="auto" w:fill="FFF2CC" w:themeFill="accent4" w:themeFillTint="33"/>
          </w:tcPr>
          <w:p w14:paraId="1A45B97C" w14:textId="77777777" w:rsidR="00C733EF" w:rsidRPr="0034449F" w:rsidRDefault="00C733EF" w:rsidP="00B16798">
            <w:pPr>
              <w:contextualSpacing/>
            </w:pPr>
            <w:r w:rsidRPr="0034449F">
              <w:t>Elbow (tennis and golfers’ elbow)</w:t>
            </w:r>
          </w:p>
        </w:tc>
        <w:tc>
          <w:tcPr>
            <w:tcW w:w="4148" w:type="dxa"/>
          </w:tcPr>
          <w:p w14:paraId="7FE9980B" w14:textId="77777777" w:rsidR="00C733EF" w:rsidRPr="0034449F" w:rsidRDefault="00C733EF" w:rsidP="00B16798">
            <w:pPr>
              <w:contextualSpacing/>
            </w:pPr>
            <w:r w:rsidRPr="0034449F">
              <w:t>30min</w:t>
            </w:r>
          </w:p>
        </w:tc>
      </w:tr>
      <w:tr w:rsidR="00C733EF" w:rsidRPr="0034449F" w14:paraId="2D9E83B9" w14:textId="77777777" w:rsidTr="00B16798">
        <w:tc>
          <w:tcPr>
            <w:tcW w:w="4148" w:type="dxa"/>
            <w:shd w:val="clear" w:color="auto" w:fill="FFF2CC" w:themeFill="accent4" w:themeFillTint="33"/>
          </w:tcPr>
          <w:p w14:paraId="682C7661" w14:textId="77777777" w:rsidR="00C733EF" w:rsidRPr="0034449F" w:rsidRDefault="00C733EF" w:rsidP="00B16798">
            <w:pPr>
              <w:contextualSpacing/>
            </w:pPr>
            <w:r w:rsidRPr="0034449F">
              <w:t>Shoulder (ACJ, genohumeral disorders and rotator cuff tendinopathies)</w:t>
            </w:r>
          </w:p>
        </w:tc>
        <w:tc>
          <w:tcPr>
            <w:tcW w:w="4148" w:type="dxa"/>
          </w:tcPr>
          <w:p w14:paraId="0CC64700" w14:textId="77777777" w:rsidR="00C733EF" w:rsidRPr="0034449F" w:rsidRDefault="00C733EF" w:rsidP="00B16798">
            <w:pPr>
              <w:contextualSpacing/>
            </w:pPr>
            <w:r w:rsidRPr="0034449F">
              <w:t>50min</w:t>
            </w:r>
          </w:p>
        </w:tc>
      </w:tr>
      <w:tr w:rsidR="00C733EF" w:rsidRPr="0034449F" w14:paraId="6A80F22D" w14:textId="77777777" w:rsidTr="00B16798">
        <w:tc>
          <w:tcPr>
            <w:tcW w:w="4148" w:type="dxa"/>
            <w:shd w:val="clear" w:color="auto" w:fill="FFF2CC" w:themeFill="accent4" w:themeFillTint="33"/>
          </w:tcPr>
          <w:p w14:paraId="353016F1" w14:textId="77777777" w:rsidR="00C733EF" w:rsidRPr="0034449F" w:rsidRDefault="00C733EF" w:rsidP="00B16798">
            <w:pPr>
              <w:contextualSpacing/>
            </w:pPr>
            <w:r w:rsidRPr="0034449F">
              <w:t>Hand (Trigger digit, deQuevain’s</w:t>
            </w:r>
            <w:r>
              <w:t xml:space="preserve"> and</w:t>
            </w:r>
            <w:r w:rsidRPr="0034449F">
              <w:t xml:space="preserve"> carpal tunnel syndrome)</w:t>
            </w:r>
          </w:p>
        </w:tc>
        <w:tc>
          <w:tcPr>
            <w:tcW w:w="4148" w:type="dxa"/>
          </w:tcPr>
          <w:p w14:paraId="10ECE103" w14:textId="77777777" w:rsidR="00C733EF" w:rsidRPr="0034449F" w:rsidRDefault="00C733EF" w:rsidP="00B16798">
            <w:pPr>
              <w:contextualSpacing/>
            </w:pPr>
            <w:r w:rsidRPr="0034449F">
              <w:t>50min</w:t>
            </w:r>
          </w:p>
        </w:tc>
      </w:tr>
      <w:tr w:rsidR="00C733EF" w:rsidRPr="0034449F" w14:paraId="7C1F0CF8" w14:textId="77777777" w:rsidTr="00B16798">
        <w:tc>
          <w:tcPr>
            <w:tcW w:w="4148" w:type="dxa"/>
            <w:shd w:val="clear" w:color="auto" w:fill="FFF2CC" w:themeFill="accent4" w:themeFillTint="33"/>
          </w:tcPr>
          <w:p w14:paraId="6FD78A20" w14:textId="77777777" w:rsidR="00C733EF" w:rsidRPr="0034449F" w:rsidRDefault="00C733EF" w:rsidP="00B16798">
            <w:pPr>
              <w:contextualSpacing/>
            </w:pPr>
            <w:r w:rsidRPr="0034449F">
              <w:t>Lower limb (knee, gluteal tendinopathy and plantar fasciopathy)</w:t>
            </w:r>
          </w:p>
        </w:tc>
        <w:tc>
          <w:tcPr>
            <w:tcW w:w="4148" w:type="dxa"/>
          </w:tcPr>
          <w:p w14:paraId="3ADAEF67" w14:textId="77777777" w:rsidR="00C733EF" w:rsidRPr="0034449F" w:rsidRDefault="00C733EF" w:rsidP="00B16798">
            <w:pPr>
              <w:contextualSpacing/>
            </w:pPr>
            <w:r w:rsidRPr="0034449F">
              <w:t>30min</w:t>
            </w:r>
          </w:p>
        </w:tc>
      </w:tr>
    </w:tbl>
    <w:p w14:paraId="18B924C8" w14:textId="494580E1" w:rsidR="0098139C" w:rsidRPr="00C41781" w:rsidRDefault="0098139C" w:rsidP="00E44062"/>
    <w:sectPr w:rsidR="0098139C" w:rsidRPr="00C41781" w:rsidSect="001E3417">
      <w:headerReference w:type="default" r:id="rId10"/>
      <w:headerReference w:type="first" r:id="rId11"/>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952AA" w14:textId="77777777" w:rsidR="006D5CDD" w:rsidRDefault="006D5CDD" w:rsidP="00E61A31">
      <w:pPr>
        <w:spacing w:after="0" w:line="240" w:lineRule="auto"/>
      </w:pPr>
      <w:r>
        <w:separator/>
      </w:r>
    </w:p>
  </w:endnote>
  <w:endnote w:type="continuationSeparator" w:id="0">
    <w:p w14:paraId="40A71249" w14:textId="77777777" w:rsidR="006D5CDD" w:rsidRDefault="006D5CDD" w:rsidP="00E61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50113" w14:textId="77777777" w:rsidR="006D5CDD" w:rsidRDefault="006D5CDD" w:rsidP="00E61A31">
      <w:pPr>
        <w:spacing w:after="0" w:line="240" w:lineRule="auto"/>
      </w:pPr>
      <w:r>
        <w:separator/>
      </w:r>
    </w:p>
  </w:footnote>
  <w:footnote w:type="continuationSeparator" w:id="0">
    <w:p w14:paraId="0BBFC3F7" w14:textId="77777777" w:rsidR="006D5CDD" w:rsidRDefault="006D5CDD" w:rsidP="00E61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99F0" w14:textId="685CD193" w:rsidR="009C1AC6" w:rsidRDefault="009C1AC6" w:rsidP="009C1AC6">
    <w:pPr>
      <w:pStyle w:val="Header"/>
      <w:jc w:val="center"/>
    </w:pPr>
  </w:p>
  <w:p w14:paraId="57F96C5F" w14:textId="1054926B" w:rsidR="009C1AC6" w:rsidRDefault="009C1AC6" w:rsidP="00050BA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45EA" w14:textId="4BE0E086" w:rsidR="009C1AC6" w:rsidRDefault="009C1AC6" w:rsidP="009C1AC6">
    <w:pPr>
      <w:pStyle w:val="Header"/>
      <w:jc w:val="center"/>
    </w:pPr>
    <w:r>
      <w:rPr>
        <w:noProof/>
      </w:rPr>
      <w:drawing>
        <wp:inline distT="0" distB="0" distL="0" distR="0" wp14:anchorId="0D1252A5" wp14:editId="633EE513">
          <wp:extent cx="3606157" cy="9553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19206" b="18545"/>
                  <a:stretch/>
                </pic:blipFill>
                <pic:spPr bwMode="auto">
                  <a:xfrm>
                    <a:off x="0" y="0"/>
                    <a:ext cx="3644441" cy="96548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1B9A"/>
    <w:multiLevelType w:val="hybridMultilevel"/>
    <w:tmpl w:val="4300E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8C7C3A"/>
    <w:multiLevelType w:val="multilevel"/>
    <w:tmpl w:val="0E785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7E7A98"/>
    <w:multiLevelType w:val="hybridMultilevel"/>
    <w:tmpl w:val="AA367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AA48F2"/>
    <w:multiLevelType w:val="hybridMultilevel"/>
    <w:tmpl w:val="429EFDEC"/>
    <w:lvl w:ilvl="0" w:tplc="F27C4870">
      <w:start w:val="2"/>
      <w:numFmt w:val="bullet"/>
      <w:lvlText w:val="-"/>
      <w:lvlJc w:val="left"/>
      <w:pPr>
        <w:ind w:left="1395" w:hanging="360"/>
      </w:pPr>
      <w:rPr>
        <w:rFonts w:ascii="Arial" w:eastAsiaTheme="minorHAnsi" w:hAnsi="Arial" w:cs="Arial" w:hint="default"/>
      </w:rPr>
    </w:lvl>
    <w:lvl w:ilvl="1" w:tplc="08090003" w:tentative="1">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4" w15:restartNumberingAfterBreak="0">
    <w:nsid w:val="6B171541"/>
    <w:multiLevelType w:val="multilevel"/>
    <w:tmpl w:val="13F4B8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043126"/>
    <w:multiLevelType w:val="hybridMultilevel"/>
    <w:tmpl w:val="BF223314"/>
    <w:lvl w:ilvl="0" w:tplc="0CF2E2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3367271">
    <w:abstractNumId w:val="1"/>
  </w:num>
  <w:num w:numId="2" w16cid:durableId="1586986790">
    <w:abstractNumId w:val="4"/>
  </w:num>
  <w:num w:numId="3" w16cid:durableId="1154108963">
    <w:abstractNumId w:val="0"/>
  </w:num>
  <w:num w:numId="4" w16cid:durableId="443890897">
    <w:abstractNumId w:val="5"/>
  </w:num>
  <w:num w:numId="5" w16cid:durableId="1095057533">
    <w:abstractNumId w:val="2"/>
  </w:num>
  <w:num w:numId="6" w16cid:durableId="790827655">
    <w:abstractNumId w:val="2"/>
  </w:num>
  <w:num w:numId="7" w16cid:durableId="702363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A31"/>
    <w:rsid w:val="00017BBE"/>
    <w:rsid w:val="000403D7"/>
    <w:rsid w:val="00050BA6"/>
    <w:rsid w:val="0005466C"/>
    <w:rsid w:val="0007446A"/>
    <w:rsid w:val="000F3BE7"/>
    <w:rsid w:val="001023F3"/>
    <w:rsid w:val="00134DF4"/>
    <w:rsid w:val="00150818"/>
    <w:rsid w:val="001637F5"/>
    <w:rsid w:val="00166224"/>
    <w:rsid w:val="001669E2"/>
    <w:rsid w:val="0017277A"/>
    <w:rsid w:val="00177EA5"/>
    <w:rsid w:val="001823EB"/>
    <w:rsid w:val="001A0096"/>
    <w:rsid w:val="001C26A7"/>
    <w:rsid w:val="001E3417"/>
    <w:rsid w:val="001F007F"/>
    <w:rsid w:val="001F1B10"/>
    <w:rsid w:val="001F262E"/>
    <w:rsid w:val="002010A8"/>
    <w:rsid w:val="002129C1"/>
    <w:rsid w:val="002252C4"/>
    <w:rsid w:val="00254EB9"/>
    <w:rsid w:val="002639AB"/>
    <w:rsid w:val="002A496B"/>
    <w:rsid w:val="002C6722"/>
    <w:rsid w:val="002E0857"/>
    <w:rsid w:val="002E5C2E"/>
    <w:rsid w:val="00300CDC"/>
    <w:rsid w:val="00320F1E"/>
    <w:rsid w:val="00342B90"/>
    <w:rsid w:val="0034449F"/>
    <w:rsid w:val="00365A44"/>
    <w:rsid w:val="00367CEF"/>
    <w:rsid w:val="0037545E"/>
    <w:rsid w:val="004132D1"/>
    <w:rsid w:val="00420515"/>
    <w:rsid w:val="0042567B"/>
    <w:rsid w:val="0044236E"/>
    <w:rsid w:val="00445A31"/>
    <w:rsid w:val="0045451C"/>
    <w:rsid w:val="00482416"/>
    <w:rsid w:val="004B084F"/>
    <w:rsid w:val="004B6592"/>
    <w:rsid w:val="004E6FCD"/>
    <w:rsid w:val="00526503"/>
    <w:rsid w:val="0054309F"/>
    <w:rsid w:val="00587704"/>
    <w:rsid w:val="005B67A0"/>
    <w:rsid w:val="005C5FDF"/>
    <w:rsid w:val="00614693"/>
    <w:rsid w:val="00672760"/>
    <w:rsid w:val="006C01B2"/>
    <w:rsid w:val="006D360A"/>
    <w:rsid w:val="006D5CDD"/>
    <w:rsid w:val="006F2466"/>
    <w:rsid w:val="006F5E23"/>
    <w:rsid w:val="00740E18"/>
    <w:rsid w:val="007C2270"/>
    <w:rsid w:val="007C6F2B"/>
    <w:rsid w:val="0085215D"/>
    <w:rsid w:val="00865A41"/>
    <w:rsid w:val="00873D93"/>
    <w:rsid w:val="008928DF"/>
    <w:rsid w:val="008A27B5"/>
    <w:rsid w:val="008A2C91"/>
    <w:rsid w:val="008B2F49"/>
    <w:rsid w:val="008E0B20"/>
    <w:rsid w:val="009259AD"/>
    <w:rsid w:val="00940E83"/>
    <w:rsid w:val="0098139C"/>
    <w:rsid w:val="0099317A"/>
    <w:rsid w:val="009A76F1"/>
    <w:rsid w:val="009B5FFF"/>
    <w:rsid w:val="009C1AC6"/>
    <w:rsid w:val="009E15D9"/>
    <w:rsid w:val="009F0D2B"/>
    <w:rsid w:val="00A10FCD"/>
    <w:rsid w:val="00A118E0"/>
    <w:rsid w:val="00A603EB"/>
    <w:rsid w:val="00A73E8C"/>
    <w:rsid w:val="00A80897"/>
    <w:rsid w:val="00A85A22"/>
    <w:rsid w:val="00A938CB"/>
    <w:rsid w:val="00A964AC"/>
    <w:rsid w:val="00AB7598"/>
    <w:rsid w:val="00B325F5"/>
    <w:rsid w:val="00B544EC"/>
    <w:rsid w:val="00B80292"/>
    <w:rsid w:val="00B864C8"/>
    <w:rsid w:val="00BC1DF8"/>
    <w:rsid w:val="00BC57BC"/>
    <w:rsid w:val="00C214E8"/>
    <w:rsid w:val="00C40062"/>
    <w:rsid w:val="00C41781"/>
    <w:rsid w:val="00C65EED"/>
    <w:rsid w:val="00C733EF"/>
    <w:rsid w:val="00C7364C"/>
    <w:rsid w:val="00C87468"/>
    <w:rsid w:val="00C919BF"/>
    <w:rsid w:val="00CE7BDC"/>
    <w:rsid w:val="00D032D9"/>
    <w:rsid w:val="00D136DC"/>
    <w:rsid w:val="00D61F71"/>
    <w:rsid w:val="00D77E1D"/>
    <w:rsid w:val="00E033F4"/>
    <w:rsid w:val="00E04C1A"/>
    <w:rsid w:val="00E1030A"/>
    <w:rsid w:val="00E246F2"/>
    <w:rsid w:val="00E41D71"/>
    <w:rsid w:val="00E44062"/>
    <w:rsid w:val="00E61A31"/>
    <w:rsid w:val="00EB468E"/>
    <w:rsid w:val="00ED4B1C"/>
    <w:rsid w:val="00F36645"/>
    <w:rsid w:val="00F60F04"/>
    <w:rsid w:val="00F67CEC"/>
    <w:rsid w:val="00F77204"/>
    <w:rsid w:val="00F849B8"/>
    <w:rsid w:val="00F9343D"/>
    <w:rsid w:val="00F95EE1"/>
    <w:rsid w:val="00FB13AB"/>
    <w:rsid w:val="00FC3815"/>
    <w:rsid w:val="00FC6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07F3C"/>
  <w15:chartTrackingRefBased/>
  <w15:docId w15:val="{90C9F6FE-FB8C-488E-8441-3E47C668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6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A31"/>
  </w:style>
  <w:style w:type="paragraph" w:styleId="Footer">
    <w:name w:val="footer"/>
    <w:basedOn w:val="Normal"/>
    <w:link w:val="FooterChar"/>
    <w:uiPriority w:val="99"/>
    <w:unhideWhenUsed/>
    <w:rsid w:val="00E61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A31"/>
  </w:style>
  <w:style w:type="character" w:styleId="PlaceholderText">
    <w:name w:val="Placeholder Text"/>
    <w:basedOn w:val="DefaultParagraphFont"/>
    <w:uiPriority w:val="99"/>
    <w:semiHidden/>
    <w:rsid w:val="00E61A31"/>
    <w:rPr>
      <w:color w:val="808080"/>
    </w:rPr>
  </w:style>
  <w:style w:type="table" w:styleId="TableGrid">
    <w:name w:val="Table Grid"/>
    <w:basedOn w:val="TableNormal"/>
    <w:uiPriority w:val="39"/>
    <w:rsid w:val="00E61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1AC6"/>
    <w:rPr>
      <w:color w:val="0563C1" w:themeColor="hyperlink"/>
      <w:u w:val="single"/>
    </w:rPr>
  </w:style>
  <w:style w:type="character" w:styleId="UnresolvedMention">
    <w:name w:val="Unresolved Mention"/>
    <w:basedOn w:val="DefaultParagraphFont"/>
    <w:uiPriority w:val="99"/>
    <w:semiHidden/>
    <w:unhideWhenUsed/>
    <w:rsid w:val="009C1AC6"/>
    <w:rPr>
      <w:color w:val="605E5C"/>
      <w:shd w:val="clear" w:color="auto" w:fill="E1DFDD"/>
    </w:rPr>
  </w:style>
  <w:style w:type="paragraph" w:styleId="ListParagraph">
    <w:name w:val="List Paragraph"/>
    <w:basedOn w:val="Normal"/>
    <w:uiPriority w:val="34"/>
    <w:qFormat/>
    <w:rsid w:val="0044236E"/>
    <w:pPr>
      <w:ind w:left="720"/>
      <w:contextualSpacing/>
    </w:pPr>
  </w:style>
  <w:style w:type="character" w:customStyle="1" w:styleId="Heading1Char">
    <w:name w:val="Heading 1 Char"/>
    <w:basedOn w:val="DefaultParagraphFont"/>
    <w:link w:val="Heading1"/>
    <w:uiPriority w:val="9"/>
    <w:rsid w:val="00F3664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9B5FF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C733E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733EF"/>
    <w:rPr>
      <w:rFonts w:ascii="Calibri" w:hAnsi="Calibri"/>
      <w:szCs w:val="21"/>
    </w:rPr>
  </w:style>
  <w:style w:type="character" w:styleId="IntenseEmphasis">
    <w:name w:val="Intense Emphasis"/>
    <w:basedOn w:val="DefaultParagraphFont"/>
    <w:uiPriority w:val="21"/>
    <w:qFormat/>
    <w:rsid w:val="001C26A7"/>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47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10f4833-9d05-46b9-adb8-eadb6e3e8b0f">
      <UserInfo>
        <DisplayName>Christie, Anna (SNEE ICB)</DisplayName>
        <AccountId>156</AccountId>
        <AccountType/>
      </UserInfo>
      <UserInfo>
        <DisplayName>VON FRAGSTEIN, Martin (NHS PRACTITIONER HEALTH - AT0)</DisplayName>
        <AccountId>58</AccountId>
        <AccountType/>
      </UserInfo>
      <UserInfo>
        <DisplayName>Anderson, Phyllis (SNEE ICB)</DisplayName>
        <AccountId>6</AccountId>
        <AccountType/>
      </UserInfo>
    </SharedWithUsers>
    <_activity xmlns="8a03ae8d-7cf1-477a-b447-01723f7048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8277B0D9547F4999A38B29D1F9DD2C" ma:contentTypeVersion="18" ma:contentTypeDescription="Create a new document." ma:contentTypeScope="" ma:versionID="325f48357932192b5dcd0ae0bf5dbd54">
  <xsd:schema xmlns:xsd="http://www.w3.org/2001/XMLSchema" xmlns:xs="http://www.w3.org/2001/XMLSchema" xmlns:p="http://schemas.microsoft.com/office/2006/metadata/properties" xmlns:ns3="8a03ae8d-7cf1-477a-b447-01723f70486d" xmlns:ns4="910f4833-9d05-46b9-adb8-eadb6e3e8b0f" targetNamespace="http://schemas.microsoft.com/office/2006/metadata/properties" ma:root="true" ma:fieldsID="d8d48bcf346088e5f709cc8fd9cc0842" ns3:_="" ns4:_="">
    <xsd:import namespace="8a03ae8d-7cf1-477a-b447-01723f70486d"/>
    <xsd:import namespace="910f4833-9d05-46b9-adb8-eadb6e3e8b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3ae8d-7cf1-477a-b447-01723f704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0f4833-9d05-46b9-adb8-eadb6e3e8b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1E596-8FCF-4D60-9218-EA0A6DBB6C31}">
  <ds:schemaRefs>
    <ds:schemaRef ds:uri="http://schemas.microsoft.com/sharepoint/v3/contenttype/forms"/>
  </ds:schemaRefs>
</ds:datastoreItem>
</file>

<file path=customXml/itemProps2.xml><?xml version="1.0" encoding="utf-8"?>
<ds:datastoreItem xmlns:ds="http://schemas.openxmlformats.org/officeDocument/2006/customXml" ds:itemID="{79D0FB12-D785-4426-AD94-8E9769B552FE}">
  <ds:schemaRefs>
    <ds:schemaRef ds:uri="http://schemas.microsoft.com/office/2006/metadata/properties"/>
    <ds:schemaRef ds:uri="http://schemas.microsoft.com/office/infopath/2007/PartnerControls"/>
    <ds:schemaRef ds:uri="910f4833-9d05-46b9-adb8-eadb6e3e8b0f"/>
    <ds:schemaRef ds:uri="8a03ae8d-7cf1-477a-b447-01723f70486d"/>
  </ds:schemaRefs>
</ds:datastoreItem>
</file>

<file path=customXml/itemProps3.xml><?xml version="1.0" encoding="utf-8"?>
<ds:datastoreItem xmlns:ds="http://schemas.openxmlformats.org/officeDocument/2006/customXml" ds:itemID="{EB9FBE34-F23E-4721-A7BE-CBDA37E7B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3ae8d-7cf1-477a-b447-01723f70486d"/>
    <ds:schemaRef ds:uri="910f4833-9d05-46b9-adb8-eadb6e3e8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755</Words>
  <Characters>4020</Characters>
  <Application>Microsoft Office Word</Application>
  <DocSecurity>4</DocSecurity>
  <Lines>174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Eleanor (IESCCG)</dc:creator>
  <cp:keywords/>
  <dc:description/>
  <cp:lastModifiedBy>Anderson, Phyllis (SNEE ICB)</cp:lastModifiedBy>
  <cp:revision>2</cp:revision>
  <dcterms:created xsi:type="dcterms:W3CDTF">2026-01-15T15:21:00Z</dcterms:created>
  <dcterms:modified xsi:type="dcterms:W3CDTF">2026-01-15T15:21:00Z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0x010100F18277B0D9547F4999A38B29D1F9DD2C</vt:lpwstr>
  </property>
  <property fmtid="{D5CDD505-2E9C-101B-9397-08002B2CF9AE}" pid="3" name="MediaServiceImageTags">
    <vt:lpwstr/>
  </property>
</Properties>
</file>